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ABD5" w14:textId="77777777" w:rsidR="00082621" w:rsidRPr="00ED7D25" w:rsidRDefault="00082621" w:rsidP="00082621">
      <w:pPr>
        <w:shd w:val="clear" w:color="auto" w:fill="FFFFFF"/>
        <w:spacing w:after="225" w:line="240" w:lineRule="auto"/>
        <w:textAlignment w:val="baseline"/>
        <w:outlineLvl w:val="1"/>
        <w:rPr>
          <w:rFonts w:ascii="qlassik_mediumregular" w:eastAsia="Times New Roman" w:hAnsi="qlassik_mediumregular" w:cs="Times New Roman"/>
          <w:color w:val="0081C6"/>
          <w:sz w:val="53"/>
          <w:szCs w:val="53"/>
          <w:lang w:eastAsia="fr-FR"/>
        </w:rPr>
      </w:pPr>
      <w:r w:rsidRPr="00ED7D25">
        <w:rPr>
          <w:rFonts w:ascii="qlassik_mediumregular" w:eastAsia="Times New Roman" w:hAnsi="qlassik_mediumregular" w:cs="Times New Roman"/>
          <w:color w:val="0081C6"/>
          <w:sz w:val="53"/>
          <w:szCs w:val="53"/>
          <w:lang w:eastAsia="fr-FR"/>
        </w:rPr>
        <w:t>Rappel des règles d’urbanisme</w:t>
      </w:r>
    </w:p>
    <w:p w14:paraId="06B2E2AA" w14:textId="77777777" w:rsidR="002C598C" w:rsidRDefault="00ED7D25" w:rsidP="002C598C">
      <w:pPr>
        <w:jc w:val="both"/>
      </w:pPr>
      <w:r>
        <w:t xml:space="preserve">Toute construction, même sans fondation, toute modification extérieure (changement menuiseries, réfection toiture …) et tout changement de destination de locaux (locaux professionnels ou agricoles en locaux d’habitation…) sont soumis à autorisation d’urbanisme, soit permis de construire, soit déclaration préalable. Pour toute précision, vous devez vous rapprocher </w:t>
      </w:r>
      <w:r>
        <w:t>du service accueil</w:t>
      </w:r>
      <w:r>
        <w:t xml:space="preserve"> de la mairie qui vous guidera dans vos démarches administratives en fonction de la nature des travaux souhaités</w:t>
      </w:r>
      <w:r w:rsidR="002C598C">
        <w:t>.</w:t>
      </w:r>
    </w:p>
    <w:p w14:paraId="6F6F2849" w14:textId="3B2B4996" w:rsidR="00082621" w:rsidRPr="00ED7D25" w:rsidRDefault="00082621" w:rsidP="002C598C">
      <w:pPr>
        <w:jc w:val="both"/>
        <w:rPr>
          <w:rFonts w:eastAsia="Times New Roman" w:cstheme="minorHAnsi"/>
          <w:color w:val="FF0000"/>
          <w:lang w:eastAsia="fr-FR"/>
        </w:rPr>
      </w:pPr>
      <w:r w:rsidRPr="00ED7D25">
        <w:rPr>
          <w:rFonts w:eastAsia="Times New Roman" w:cstheme="minorHAnsi"/>
          <w:color w:val="333333"/>
          <w:lang w:eastAsia="fr-FR"/>
        </w:rPr>
        <w:t xml:space="preserve">Il est important de respecter cette réglementation, faute de quoi vous seriez en infraction avec le Code de l’urbanisme. </w:t>
      </w:r>
      <w:r w:rsidR="00360BFA" w:rsidRPr="0013463B">
        <w:rPr>
          <w:rFonts w:eastAsia="Times New Roman" w:cstheme="minorHAnsi"/>
          <w:color w:val="FF0000"/>
          <w:lang w:eastAsia="fr-FR"/>
        </w:rPr>
        <w:t xml:space="preserve">De plus dans le périmètre de protection des monuments historiques, tous travaux modifiant l’aspect extérieur d’une construction </w:t>
      </w:r>
      <w:r w:rsidR="0013463B" w:rsidRPr="0013463B">
        <w:rPr>
          <w:rFonts w:eastAsia="Times New Roman" w:cstheme="minorHAnsi"/>
          <w:color w:val="FF0000"/>
          <w:lang w:eastAsia="fr-FR"/>
        </w:rPr>
        <w:t>sont soumis à l’avis de l’Architecte des Bâtiments de France</w:t>
      </w:r>
    </w:p>
    <w:p w14:paraId="00C4CC62" w14:textId="1CEC25A8" w:rsidR="00ED7D25" w:rsidRDefault="00ED7D25" w:rsidP="00ED7D2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noProof/>
          <w:color w:val="133574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 wp14:anchorId="10E98390" wp14:editId="6968EEAC">
            <wp:extent cx="2552700" cy="1971675"/>
            <wp:effectExtent l="0" t="0" r="0" b="9525"/>
            <wp:docPr id="4" name="Imag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6CEF" w14:textId="77777777" w:rsidR="00360BFA" w:rsidRPr="00ED7D25" w:rsidRDefault="00360BFA" w:rsidP="00ED7D2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</w:p>
    <w:p w14:paraId="6FE0A30C" w14:textId="77777777" w:rsidR="00ED7D25" w:rsidRPr="00ED7D25" w:rsidRDefault="00ED7D25" w:rsidP="00ED7D25">
      <w:pPr>
        <w:shd w:val="clear" w:color="auto" w:fill="FFFFFF"/>
        <w:spacing w:before="150" w:after="300" w:line="240" w:lineRule="auto"/>
        <w:jc w:val="both"/>
        <w:textAlignment w:val="baseline"/>
        <w:outlineLvl w:val="2"/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</w:pPr>
      <w:r w:rsidRPr="00ED7D25"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  <w:t>Travaux dispensés d’autorisation d’urbanisme</w:t>
      </w:r>
    </w:p>
    <w:p w14:paraId="17DC0972" w14:textId="77777777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– les aménagements intérieurs quand ils n’engagent pas de changement de destination des locaux existants, de création d’ouverture, ni de création de niveau supplémentaire,</w:t>
      </w:r>
    </w:p>
    <w:p w14:paraId="6F6322DE" w14:textId="61B115C6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– les constructions dont les dimensions ne dépassent pas 1,</w:t>
      </w:r>
      <w:r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8</w:t>
      </w: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0 m de hauteur et</w:t>
      </w:r>
      <w:r w:rsidR="00407F6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/ou</w:t>
      </w: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 </w:t>
      </w:r>
      <w:r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5</w:t>
      </w: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 m² au sol</w:t>
      </w:r>
      <w:r w:rsidR="002264BF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 (surface de plancher et/ou emprise au sol)</w:t>
      </w: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</w:t>
      </w:r>
    </w:p>
    <w:p w14:paraId="493D914A" w14:textId="77777777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– les petits travaux d’entretien ou de réparation ordinaire,</w:t>
      </w:r>
    </w:p>
    <w:p w14:paraId="59FB9A6C" w14:textId="77777777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– les petites éoliennes,</w:t>
      </w:r>
    </w:p>
    <w:p w14:paraId="24601992" w14:textId="77777777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– les châssis et serres de production dont la hauteur est inférieure à 1,80 m</w:t>
      </w:r>
    </w:p>
    <w:p w14:paraId="15C1C4F1" w14:textId="77777777" w:rsidR="00ED7D25" w:rsidRPr="00ED7D25" w:rsidRDefault="00ED7D25" w:rsidP="00ED7D25">
      <w:pPr>
        <w:shd w:val="clear" w:color="auto" w:fill="FFFFFF"/>
        <w:spacing w:before="150" w:after="300" w:line="240" w:lineRule="auto"/>
        <w:jc w:val="both"/>
        <w:textAlignment w:val="baseline"/>
        <w:outlineLvl w:val="2"/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</w:pPr>
      <w:r w:rsidRPr="00ED7D25"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  <w:t>Travaux soumis à l’obligation de déposer une déclaration préalable</w:t>
      </w:r>
    </w:p>
    <w:p w14:paraId="6B793292" w14:textId="04374378" w:rsidR="0013463B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modifier l’aspect extérieur de votre construction,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</w:p>
    <w:p w14:paraId="2395F5E4" w14:textId="572417E7" w:rsidR="0013463B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ravalement de façade, isolation extérieure, adjonction de parement</w:t>
      </w:r>
    </w:p>
    <w:p w14:paraId="4B06E034" w14:textId="1EB5D36F" w:rsidR="0013463B" w:rsidRPr="00407F6A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réfection de toiture,</w:t>
      </w:r>
    </w:p>
    <w:p w14:paraId="61D40374" w14:textId="407D0CFC" w:rsidR="0013463B" w:rsidRPr="00407F6A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de créer modifier ou remplacer votre clôture et/ou portail,</w:t>
      </w:r>
    </w:p>
    <w:p w14:paraId="1D956DCE" w14:textId="1867FA36" w:rsidR="0013463B" w:rsidRPr="00407F6A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de créer, d’agrandir ou de supprimer une ouverture,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ou un velux,</w:t>
      </w:r>
    </w:p>
    <w:p w14:paraId="08A24A8F" w14:textId="67F6BB36" w:rsidR="0013463B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de changer de matériaux ou la teinte des portes, volets, fenêtres,</w:t>
      </w:r>
    </w:p>
    <w:p w14:paraId="551317CE" w14:textId="7F78FF66" w:rsidR="0013463B" w:rsidRPr="00407F6A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de construire des équipements liés à la climatisation ou aux énergies renouvelables (climatisation, pompes à chaleurs, panneaux photovoltaïques, etc.)</w:t>
      </w:r>
    </w:p>
    <w:p w14:paraId="58851B17" w14:textId="5FEAE4C3" w:rsidR="0013463B" w:rsidRPr="00407F6A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d’implanter une piscine, même hors sol, de plus de 10 m²,</w:t>
      </w:r>
    </w:p>
    <w:p w14:paraId="056D38B8" w14:textId="5156FEA8" w:rsidR="0013463B" w:rsidRPr="00407F6A" w:rsidRDefault="0013463B" w:rsidP="001346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de changer la destination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de locaux existants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,</w:t>
      </w:r>
    </w:p>
    <w:p w14:paraId="223FCA0E" w14:textId="224597FA" w:rsidR="0013463B" w:rsidRDefault="0013463B" w:rsidP="00E374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de créer de la surface de plancher et/ou d’emprise au sol, de 5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m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² à 20 m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²</w:t>
      </w:r>
      <w:r w:rsidR="00E3744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(extension,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véranda,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garage, préau, pergola,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abri de jardin, serre, autre annexe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,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abri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bois…).</w:t>
      </w:r>
    </w:p>
    <w:p w14:paraId="2FDC5388" w14:textId="17AE436A" w:rsidR="00E3744E" w:rsidRDefault="00E3744E" w:rsidP="00E374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14:paraId="135D0111" w14:textId="77777777" w:rsidR="002C598C" w:rsidRPr="00407F6A" w:rsidRDefault="002C598C" w:rsidP="00E374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14:paraId="4EE4EB13" w14:textId="77777777" w:rsidR="00ED7D25" w:rsidRPr="00ED7D25" w:rsidRDefault="00ED7D25" w:rsidP="00ED7D25">
      <w:pPr>
        <w:shd w:val="clear" w:color="auto" w:fill="FFFFFF"/>
        <w:spacing w:before="150" w:after="300" w:line="240" w:lineRule="auto"/>
        <w:textAlignment w:val="baseline"/>
        <w:outlineLvl w:val="2"/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</w:pPr>
      <w:r w:rsidRPr="00ED7D25"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  <w:lastRenderedPageBreak/>
        <w:t>Travaux soumis à l’obligation de déposer un permis de construire</w:t>
      </w:r>
    </w:p>
    <w:p w14:paraId="1247C569" w14:textId="77777777" w:rsidR="00E3744E" w:rsidRPr="00407F6A" w:rsidRDefault="00E3744E" w:rsidP="00E3744E">
      <w:pPr>
        <w:shd w:val="clear" w:color="auto" w:fill="FFFFFF"/>
        <w:spacing w:after="0" w:line="240" w:lineRule="auto"/>
        <w:ind w:left="2835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 </w:t>
      </w:r>
    </w:p>
    <w:p w14:paraId="666D1586" w14:textId="77777777" w:rsidR="00E3744E" w:rsidRPr="00407F6A" w:rsidRDefault="00E3744E" w:rsidP="00E374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Votre projet peut être soumis à l’obligation de déposer un permis de construire pour :</w:t>
      </w:r>
    </w:p>
    <w:p w14:paraId="01DFA15B" w14:textId="77777777" w:rsidR="00E3744E" w:rsidRPr="00407F6A" w:rsidRDefault="00E3744E" w:rsidP="00E374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 w:rsidRPr="00407F6A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fr-FR"/>
        </w:rPr>
        <w:t>   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la construction ou l’agrandissement d’une maison individuelle ou de ses annexes de plus de 20 m² :</w:t>
      </w:r>
    </w:p>
    <w:p w14:paraId="7B3DD435" w14:textId="62E40C56" w:rsidR="00E3744E" w:rsidRPr="00407F6A" w:rsidRDefault="00E3744E" w:rsidP="00E3744E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proofErr w:type="gramStart"/>
      <w:r w:rsidRPr="00407F6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fr-FR"/>
        </w:rPr>
        <w:t>o</w:t>
      </w:r>
      <w:proofErr w:type="gramEnd"/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 sans recours à un architecte si la surface de plancher cumulée est inférieure à 150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m²,</w:t>
      </w:r>
    </w:p>
    <w:p w14:paraId="0E02DF48" w14:textId="61BA3A1F" w:rsidR="00E3744E" w:rsidRPr="00407F6A" w:rsidRDefault="00E3744E" w:rsidP="00E3744E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proofErr w:type="gramStart"/>
      <w:r w:rsidRPr="00407F6A">
        <w:rPr>
          <w:rFonts w:ascii="Courier New" w:eastAsia="Times New Roman" w:hAnsi="Courier New" w:cs="Courier New"/>
          <w:color w:val="333333"/>
          <w:sz w:val="20"/>
          <w:szCs w:val="20"/>
          <w:bdr w:val="none" w:sz="0" w:space="0" w:color="auto" w:frame="1"/>
          <w:lang w:eastAsia="fr-FR"/>
        </w:rPr>
        <w:t>o</w:t>
      </w:r>
      <w:proofErr w:type="gramEnd"/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 avec recours à un architecte si plus de 150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m².</w:t>
      </w:r>
    </w:p>
    <w:p w14:paraId="1F3C9876" w14:textId="77777777" w:rsidR="00E3744E" w:rsidRPr="00407F6A" w:rsidRDefault="00E3744E" w:rsidP="00E374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 w:rsidRPr="00407F6A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fr-FR"/>
        </w:rPr>
        <w:t>   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 xml:space="preserve">le changement de destination du bâti existant ayant pour effet de modifier soit les structures porteuses, soit sa façade (habitation en commerce, grange en </w:t>
      </w:r>
      <w:proofErr w:type="gramStart"/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habitation….</w:t>
      </w:r>
      <w:proofErr w:type="gramEnd"/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)</w:t>
      </w:r>
    </w:p>
    <w:p w14:paraId="31760EF7" w14:textId="25A2AF4D" w:rsidR="00E3744E" w:rsidRDefault="00E3744E" w:rsidP="00E374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407F6A">
        <w:rPr>
          <w:rFonts w:ascii="Wingdings" w:eastAsia="Times New Roman" w:hAnsi="Wingdings" w:cs="Arial"/>
          <w:color w:val="333333"/>
          <w:sz w:val="20"/>
          <w:szCs w:val="20"/>
          <w:bdr w:val="none" w:sz="0" w:space="0" w:color="auto" w:frame="1"/>
          <w:lang w:eastAsia="fr-FR"/>
        </w:rPr>
        <w:t>§</w:t>
      </w:r>
      <w:r w:rsidRPr="00407F6A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fr-FR"/>
        </w:rPr>
        <w:t>   </w:t>
      </w:r>
      <w:r w:rsidRPr="00407F6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fr-FR"/>
        </w:rPr>
        <w:t>la construction de tout bâtiment, entrepôt, hangar à vocation commerciale, industrielle, artisanale, agricole ou de bureaux de plus de 20m²,</w:t>
      </w:r>
    </w:p>
    <w:p w14:paraId="51C1C8F8" w14:textId="77777777" w:rsidR="00E3744E" w:rsidRDefault="00E3744E" w:rsidP="00ED7D2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</w:p>
    <w:p w14:paraId="3753E361" w14:textId="36C4D40F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noProof/>
          <w:color w:val="333333"/>
          <w:sz w:val="20"/>
          <w:szCs w:val="20"/>
          <w:lang w:eastAsia="fr-FR"/>
        </w:rPr>
        <w:drawing>
          <wp:inline distT="0" distB="0" distL="0" distR="0" wp14:anchorId="26F7D09C" wp14:editId="0C0AB1B7">
            <wp:extent cx="2381250" cy="2381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621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  </w:t>
      </w:r>
      <w:r w:rsidR="00360BF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ab/>
      </w:r>
      <w:r w:rsidR="00360BF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ab/>
      </w:r>
      <w:r w:rsidR="00082621" w:rsidRPr="00ED7D25">
        <w:rPr>
          <w:rFonts w:ascii="inherit" w:eastAsia="Times New Roman" w:hAnsi="inherit" w:cs="Times New Roman"/>
          <w:noProof/>
          <w:color w:val="133574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 wp14:anchorId="513B4727" wp14:editId="6A2590DC">
            <wp:extent cx="1590675" cy="1971675"/>
            <wp:effectExtent l="0" t="0" r="9525" b="9525"/>
            <wp:docPr id="5" name="Imag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4C940" w14:textId="2ECDA873" w:rsidR="00ED7D25" w:rsidRPr="00ED7D25" w:rsidRDefault="00ED7D25" w:rsidP="00ED7D25">
      <w:pPr>
        <w:shd w:val="clear" w:color="auto" w:fill="FFFFFF"/>
        <w:spacing w:before="150" w:after="300" w:line="240" w:lineRule="auto"/>
        <w:textAlignment w:val="baseline"/>
        <w:outlineLvl w:val="2"/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</w:pPr>
      <w:r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  <w:t>A</w:t>
      </w:r>
      <w:r w:rsidRPr="00ED7D25">
        <w:rPr>
          <w:rFonts w:ascii="qlassik_mediumregular" w:eastAsia="Times New Roman" w:hAnsi="qlassik_mediumregular" w:cs="Times New Roman"/>
          <w:b/>
          <w:bCs/>
          <w:color w:val="8FA84D"/>
          <w:sz w:val="35"/>
          <w:szCs w:val="35"/>
          <w:lang w:eastAsia="fr-FR"/>
        </w:rPr>
        <w:t>ctions et sanctions</w:t>
      </w:r>
    </w:p>
    <w:p w14:paraId="4949532C" w14:textId="77777777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L’exécution de travaux sans autorisation préalable, ou non conforme à l’autorisation délivrée, constitue un délit (article L.480-1 à L.480-4 et L.160-1 du code de l’urbanisme) et est passible de poursuites pénales (article L.480-2 du code de l’urbanisme). Dans ce cas un procès-verbal est dressé et transmis au procureur de la République.</w:t>
      </w:r>
    </w:p>
    <w:p w14:paraId="1D089E4C" w14:textId="77777777" w:rsidR="00ED7D25" w:rsidRP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Dans certains cas, l’administration peut ordonner l’interruption des travaux (L.480-2 du code de l’urbanisme). Parallèlement aux sanctions pénales, le tribunal correctionnel peut imposer des mesures de restitution (L.480-5 du code de l’urbanisme) comme la démolition ou la mise en conformité des lieux avec l’autorisation accordée ou dans leur état antérieur.</w:t>
      </w:r>
    </w:p>
    <w:p w14:paraId="6EAD7EE2" w14:textId="66A9ED77" w:rsidR="00ED7D25" w:rsidRDefault="00ED7D25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D7D25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De plus, lorsqu’un tiers subit un préjudice du fait de l’implantation d’une construction, il peut engager une action en réparation devant le tribunal civil dans un délai de 5 ans concernant des travaux avec permis de construire et 10 ans en cas de construction édifiée sans permis ou non conformément à un permis de construire.</w:t>
      </w:r>
    </w:p>
    <w:p w14:paraId="2007E2D2" w14:textId="77777777" w:rsidR="00E3744E" w:rsidRPr="00ED7D25" w:rsidRDefault="00E3744E" w:rsidP="00ED7D25">
      <w:pPr>
        <w:shd w:val="clear" w:color="auto" w:fill="FFFFFF"/>
        <w:spacing w:before="180" w:after="18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</w:p>
    <w:p w14:paraId="2156C7D8" w14:textId="77777777" w:rsidR="00E3744E" w:rsidRPr="00407F6A" w:rsidRDefault="00E3744E" w:rsidP="00E3744E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Arial" w:eastAsia="Times New Roman" w:hAnsi="Arial" w:cs="Arial"/>
          <w:i/>
          <w:iCs/>
          <w:color w:val="414856"/>
          <w:sz w:val="20"/>
          <w:szCs w:val="20"/>
          <w:bdr w:val="none" w:sz="0" w:space="0" w:color="auto" w:frame="1"/>
          <w:lang w:eastAsia="fr-FR"/>
        </w:rPr>
        <w:t>Rappel : Une fois l’autorisation obtenue auprès de la mairie, vous devez afficher sur votre terrain un extrait de cette autorisation. L'affichage se fait grâce à un panneau rectangulaire dont les dimensions sont supérieures à 80 centimètres.</w:t>
      </w:r>
    </w:p>
    <w:p w14:paraId="193D7B25" w14:textId="77777777" w:rsidR="00E3744E" w:rsidRPr="00407F6A" w:rsidRDefault="00E3744E" w:rsidP="00E3744E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407F6A">
        <w:rPr>
          <w:rFonts w:ascii="Arial" w:eastAsia="Times New Roman" w:hAnsi="Arial" w:cs="Arial"/>
          <w:i/>
          <w:iCs/>
          <w:color w:val="414856"/>
          <w:sz w:val="20"/>
          <w:szCs w:val="20"/>
          <w:bdr w:val="none" w:sz="0" w:space="0" w:color="auto" w:frame="1"/>
          <w:lang w:eastAsia="fr-FR"/>
        </w:rPr>
        <w:t>Cet affichage est obligatoire pour purger le recours des tiers.</w:t>
      </w:r>
    </w:p>
    <w:p w14:paraId="73FB59AB" w14:textId="77777777" w:rsidR="00407F6A" w:rsidRDefault="00407F6A"/>
    <w:sectPr w:rsidR="00407F6A" w:rsidSect="00360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lassik_medium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25"/>
    <w:rsid w:val="00082621"/>
    <w:rsid w:val="0013463B"/>
    <w:rsid w:val="002264BF"/>
    <w:rsid w:val="002C598C"/>
    <w:rsid w:val="00360BFA"/>
    <w:rsid w:val="00407F6A"/>
    <w:rsid w:val="004E5CE7"/>
    <w:rsid w:val="007C13F1"/>
    <w:rsid w:val="00C05C13"/>
    <w:rsid w:val="00E3744E"/>
    <w:rsid w:val="00E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EAF"/>
  <w15:chartTrackingRefBased/>
  <w15:docId w15:val="{123BC035-2281-449C-88D8-35C8055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iville.fr/wp-content/uploads/2011/01/panneau_permis_de_construir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iville.fr/wp-content/uploads/2011/01/FONCIER.gif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2021-02-10T09:14:00Z</dcterms:created>
  <dcterms:modified xsi:type="dcterms:W3CDTF">2021-02-10T14:51:00Z</dcterms:modified>
</cp:coreProperties>
</file>